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18" w:rsidRPr="00841BC0" w:rsidRDefault="00646918" w:rsidP="00646918">
      <w:pPr>
        <w:pBdr>
          <w:bottom w:val="single" w:sz="4" w:space="4" w:color="4F81BD" w:themeColor="accent1"/>
        </w:pBdr>
        <w:spacing w:before="200" w:after="280"/>
        <w:ind w:left="936" w:right="936"/>
        <w:jc w:val="center"/>
        <w:rPr>
          <w:bCs/>
          <w:i/>
          <w:iCs/>
          <w:color w:val="4F81BD" w:themeColor="accent1"/>
          <w:sz w:val="28"/>
        </w:rPr>
      </w:pPr>
      <w:bookmarkStart w:id="0" w:name="_Toc442113849"/>
      <w:r w:rsidRPr="00841BC0">
        <w:rPr>
          <w:bCs/>
          <w:i/>
          <w:iCs/>
          <w:color w:val="4F81BD" w:themeColor="accent1"/>
          <w:sz w:val="28"/>
        </w:rPr>
        <w:t>O.P.D. SISTEMA ESTATAL PARA EL DESARROLLO INTEGRAL DE LA FAMILIA DEL ESTADO DE JALISCO</w:t>
      </w:r>
    </w:p>
    <w:p w:rsidR="00646918" w:rsidRPr="00841BC0" w:rsidRDefault="00646918" w:rsidP="0064691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41B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NOTAS A LOS ESTADOS FINANCIEROS</w:t>
      </w:r>
      <w:bookmarkEnd w:id="0"/>
      <w:r w:rsidRPr="00841B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AL 3</w:t>
      </w:r>
      <w:r w:rsidR="00B02C1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0 DE JUNIO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DEL 2016</w:t>
      </w:r>
      <w:r w:rsidRPr="00841BC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</w:t>
      </w:r>
    </w:p>
    <w:p w:rsidR="00646918" w:rsidRPr="00841BC0" w:rsidRDefault="00646918" w:rsidP="00646918">
      <w:pPr>
        <w:rPr>
          <w:rFonts w:ascii="Arial" w:hAnsi="Arial" w:cs="Arial"/>
          <w:b/>
        </w:rPr>
      </w:pPr>
    </w:p>
    <w:p w:rsidR="00646918" w:rsidRPr="00841BC0" w:rsidRDefault="00646918" w:rsidP="00646918">
      <w:pPr>
        <w:numPr>
          <w:ilvl w:val="0"/>
          <w:numId w:val="2"/>
        </w:numPr>
        <w:contextualSpacing/>
        <w:rPr>
          <w:rFonts w:ascii="Arial" w:hAnsi="Arial" w:cs="Arial"/>
          <w:b/>
          <w:color w:val="1F497D" w:themeColor="text2"/>
          <w:u w:val="single"/>
        </w:rPr>
      </w:pPr>
      <w:r w:rsidRPr="00841BC0">
        <w:rPr>
          <w:rFonts w:ascii="Arial" w:hAnsi="Arial" w:cs="Arial"/>
          <w:b/>
          <w:color w:val="1F497D" w:themeColor="text2"/>
          <w:u w:val="single"/>
        </w:rPr>
        <w:t>NOTAS DE DESGLOSE</w:t>
      </w:r>
    </w:p>
    <w:p w:rsidR="00646918" w:rsidRPr="00841BC0" w:rsidRDefault="00646918" w:rsidP="00646918">
      <w:pPr>
        <w:ind w:left="720"/>
        <w:contextualSpacing/>
        <w:rPr>
          <w:rFonts w:ascii="Arial" w:hAnsi="Arial" w:cs="Arial"/>
          <w:b/>
          <w:color w:val="1F497D" w:themeColor="text2"/>
          <w:u w:val="single"/>
        </w:rPr>
      </w:pPr>
    </w:p>
    <w:p w:rsidR="00646918" w:rsidRPr="00841BC0" w:rsidRDefault="00B02C16" w:rsidP="00646918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B009" wp14:editId="3D440F07">
                <wp:simplePos x="0" y="0"/>
                <wp:positionH relativeFrom="column">
                  <wp:posOffset>17245</wp:posOffset>
                </wp:positionH>
                <wp:positionV relativeFrom="paragraph">
                  <wp:posOffset>935458</wp:posOffset>
                </wp:positionV>
                <wp:extent cx="6113104" cy="1878984"/>
                <wp:effectExtent l="1735772" t="0" r="1776413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7285">
                          <a:off x="0" y="0"/>
                          <a:ext cx="6113104" cy="187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2C16" w:rsidRPr="00B02C16" w:rsidRDefault="00B02C16" w:rsidP="00B02C16">
                            <w:pPr>
                              <w:keepNext/>
                              <w:keepLines/>
                              <w:spacing w:before="48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2C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Versión Preliminar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.35pt;margin-top:73.65pt;width:481.35pt;height:147.95pt;rotation:-30722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" filled="f" stroked="f">
                <v:fill o:detectmouseclick="t"/>
                <v:textbox>
                  <w:txbxContent>
                    <w:p w:rsidR="00B02C16" w:rsidRPr="00B02C16" w:rsidRDefault="00B02C16" w:rsidP="00B02C16">
                      <w:pPr>
                        <w:keepNext/>
                        <w:keepLines/>
                        <w:spacing w:before="480"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2C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Versión Preliminar</w:t>
                      </w:r>
                    </w:p>
                  </w:txbxContent>
                </v:textbox>
              </v:shape>
            </w:pict>
          </mc:Fallback>
        </mc:AlternateContent>
      </w:r>
      <w:r w:rsidR="00646918" w:rsidRPr="00841BC0">
        <w:rPr>
          <w:rFonts w:ascii="Arial" w:hAnsi="Arial" w:cs="Arial"/>
        </w:rPr>
        <w:t>Los estados financieros del Sistema para el Desarrollo Integral de la Familia O.P.D. (SISTEMA DIF JALISCO), están preparados con base acumulativa, ya que sus operaciones fueron contabilizadas conforme a la fecha de su realización, independientemente de la de su pago, entendiéndose por ello el registro de operaciones devengadas, de conformidad con la Ley General de Contabilidad Gubernamental.</w:t>
      </w:r>
    </w:p>
    <w:p w:rsidR="00646918" w:rsidRPr="00841BC0" w:rsidRDefault="00646918" w:rsidP="00646918">
      <w:pPr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El registro de sus operaciones presupuestales se ajustan al catálogo de cuentas y plan de cuentas armonizado emitido por el Consejo Nacional de Armonización Contable.</w:t>
      </w:r>
    </w:p>
    <w:p w:rsidR="00646918" w:rsidRPr="00841BC0" w:rsidRDefault="00646918" w:rsidP="00646918">
      <w:pPr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La contabilización de sus operaciones contables y presupuestales es respaldada con documentación original que comprueba y justifica los registros efectuados.</w:t>
      </w:r>
    </w:p>
    <w:p w:rsidR="00646918" w:rsidRPr="00841BC0" w:rsidRDefault="00646918" w:rsidP="00646918">
      <w:pPr>
        <w:rPr>
          <w:rFonts w:ascii="Arial" w:hAnsi="Arial" w:cs="Arial"/>
          <w:b/>
          <w:sz w:val="24"/>
        </w:rPr>
      </w:pPr>
      <w:bookmarkStart w:id="1" w:name="_Toc442113851"/>
    </w:p>
    <w:p w:rsidR="00646918" w:rsidRPr="00841BC0" w:rsidRDefault="00646918" w:rsidP="00646918">
      <w:pPr>
        <w:rPr>
          <w:rFonts w:ascii="Arial" w:hAnsi="Arial" w:cs="Arial"/>
          <w:b/>
          <w:sz w:val="24"/>
        </w:rPr>
      </w:pPr>
      <w:r w:rsidRPr="00841BC0">
        <w:rPr>
          <w:rFonts w:ascii="Arial" w:hAnsi="Arial" w:cs="Arial"/>
          <w:b/>
          <w:sz w:val="24"/>
        </w:rPr>
        <w:t>ACTIVO</w:t>
      </w:r>
      <w:bookmarkEnd w:id="1"/>
    </w:p>
    <w:p w:rsidR="00646918" w:rsidRPr="00841BC0" w:rsidRDefault="00646918" w:rsidP="0064691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2" w:name="_Toc442113852"/>
      <w:r w:rsidRPr="00841BC0">
        <w:rPr>
          <w:rFonts w:ascii="Arial" w:hAnsi="Arial" w:cs="Arial"/>
          <w:b/>
          <w:u w:val="single"/>
        </w:rPr>
        <w:t>Efectivo y Equivalentes</w:t>
      </w:r>
      <w:bookmarkEnd w:id="2"/>
    </w:p>
    <w:p w:rsidR="00646918" w:rsidRPr="00841BC0" w:rsidRDefault="00646918" w:rsidP="00646918">
      <w:pPr>
        <w:ind w:left="720"/>
        <w:contextualSpacing/>
        <w:jc w:val="both"/>
        <w:outlineLvl w:val="2"/>
        <w:rPr>
          <w:rFonts w:ascii="Arial" w:hAnsi="Arial" w:cs="Arial"/>
          <w:b/>
          <w:u w:val="single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Las cuentas de cheques aparte de brindar seguridad, es una forma muy conveniente de hacer varias operaciones bancarias como depósitos, retiros, transferencias, y pagos, éstas son utilizadas para cumplir con la operatividad del organismo, en dichas cuentas se reciben los recursos federales y estatales mediante transferencias electrónicas, además también se efectúa el registro de los recursos propios, es a través de su manejo en el que se realizan los retiros económicos para cubrir los gastos propios y programáticos de acuerdo a los objetivos del propio Organismo.</w:t>
      </w: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Los rendimientos generados son registrados en la cuenta denominada Otros Ingresos y beneficios, sub cuenta Intereses ganados de valores, los cuales son utilizados para dar cumplimiento a los mismos objetivos de éste Sistema.</w:t>
      </w: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  <w:r w:rsidRPr="006E2C18">
        <w:rPr>
          <w:rFonts w:ascii="Arial" w:hAnsi="Arial" w:cs="Arial"/>
        </w:rPr>
        <w:t>El saldo de $</w:t>
      </w:r>
      <w:r w:rsidR="006E2C18" w:rsidRPr="006E2C18">
        <w:rPr>
          <w:rFonts w:ascii="Arial" w:hAnsi="Arial" w:cs="Arial"/>
        </w:rPr>
        <w:t>6</w:t>
      </w:r>
      <w:r w:rsidRPr="006E2C18">
        <w:rPr>
          <w:rFonts w:ascii="Arial" w:hAnsi="Arial" w:cs="Arial"/>
        </w:rPr>
        <w:t>’9</w:t>
      </w:r>
      <w:r w:rsidR="006E2C18" w:rsidRPr="006E2C18">
        <w:rPr>
          <w:rFonts w:ascii="Arial" w:hAnsi="Arial" w:cs="Arial"/>
        </w:rPr>
        <w:t>84</w:t>
      </w:r>
      <w:r w:rsidRPr="006E2C18">
        <w:rPr>
          <w:rFonts w:ascii="Arial" w:hAnsi="Arial" w:cs="Arial"/>
        </w:rPr>
        <w:t>,</w:t>
      </w:r>
      <w:r w:rsidR="006E2C18" w:rsidRPr="006E2C18">
        <w:rPr>
          <w:rFonts w:ascii="Arial" w:hAnsi="Arial" w:cs="Arial"/>
        </w:rPr>
        <w:t>101.94</w:t>
      </w:r>
      <w:r w:rsidRPr="006E2C18">
        <w:rPr>
          <w:rFonts w:ascii="Arial" w:hAnsi="Arial" w:cs="Arial"/>
        </w:rPr>
        <w:t xml:space="preserve"> que presenta el rubro de Bancos en Estados Financieros, se encuentra</w:t>
      </w:r>
      <w:r w:rsidRPr="00841BC0">
        <w:rPr>
          <w:rFonts w:ascii="Arial" w:hAnsi="Arial" w:cs="Arial"/>
        </w:rPr>
        <w:t xml:space="preserve"> integrado por todas las cuentas de cheques vigentes al 3</w:t>
      </w:r>
      <w:r w:rsidR="006E2C18">
        <w:rPr>
          <w:rFonts w:ascii="Arial" w:hAnsi="Arial" w:cs="Arial"/>
        </w:rPr>
        <w:t>0 de junio</w:t>
      </w:r>
      <w:r w:rsidRPr="00841BC0">
        <w:rPr>
          <w:rFonts w:ascii="Arial" w:hAnsi="Arial" w:cs="Arial"/>
        </w:rPr>
        <w:t xml:space="preserve"> del 201</w:t>
      </w:r>
      <w:r>
        <w:rPr>
          <w:rFonts w:ascii="Arial" w:hAnsi="Arial" w:cs="Arial"/>
        </w:rPr>
        <w:t>6</w:t>
      </w:r>
      <w:r w:rsidR="006E2C18">
        <w:rPr>
          <w:rFonts w:ascii="Arial" w:hAnsi="Arial" w:cs="Arial"/>
        </w:rPr>
        <w:t>.</w:t>
      </w: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3" w:name="_Toc442113853"/>
      <w:r w:rsidRPr="00841BC0">
        <w:rPr>
          <w:rFonts w:ascii="Arial" w:hAnsi="Arial" w:cs="Arial"/>
          <w:b/>
          <w:u w:val="single"/>
        </w:rPr>
        <w:t>Derecho a Recibir Efectivo o Equivalentes</w:t>
      </w:r>
      <w:bookmarkEnd w:id="3"/>
    </w:p>
    <w:p w:rsidR="00646918" w:rsidRPr="00841BC0" w:rsidRDefault="00646918" w:rsidP="00646918">
      <w:pPr>
        <w:ind w:left="720"/>
        <w:contextualSpacing/>
        <w:jc w:val="both"/>
        <w:outlineLvl w:val="2"/>
        <w:rPr>
          <w:rFonts w:ascii="Arial" w:hAnsi="Arial" w:cs="Arial"/>
          <w:b/>
          <w:u w:val="single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El monto de recursos que se encuentran pendientes de recuperar para recibir efectivo o equivalentes, se integra por los saldos siguientes:</w:t>
      </w:r>
    </w:p>
    <w:tbl>
      <w:tblPr>
        <w:tblW w:w="650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520"/>
      </w:tblGrid>
      <w:tr w:rsidR="00646918" w:rsidRPr="006E2C18" w:rsidTr="002704A6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646918" w:rsidRPr="006E2C18" w:rsidRDefault="00646918" w:rsidP="00270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CONCEPTO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646918" w:rsidRPr="006E2C18" w:rsidRDefault="00646918" w:rsidP="00270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IMPORTE </w:t>
            </w:r>
          </w:p>
        </w:tc>
      </w:tr>
      <w:tr w:rsidR="00646918" w:rsidRPr="006E2C18" w:rsidTr="002704A6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646918" w:rsidRPr="006E2C18" w:rsidRDefault="00646918" w:rsidP="00270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CUENTAS POR COBRAR A CORTO PLAZO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646918" w:rsidRPr="006E2C18" w:rsidRDefault="00646918" w:rsidP="006E2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$ </w:t>
            </w:r>
            <w:r w:rsidR="006E2C18"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44</w:t>
            </w:r>
            <w:r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 w:rsidR="006E2C18"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824</w:t>
            </w:r>
            <w:r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 w:rsidR="006E2C18"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219.71</w:t>
            </w:r>
          </w:p>
        </w:tc>
      </w:tr>
      <w:tr w:rsidR="00646918" w:rsidRPr="006E2C18" w:rsidTr="002704A6">
        <w:trPr>
          <w:trHeight w:val="300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646918" w:rsidRPr="006E2C18" w:rsidRDefault="00646918" w:rsidP="00270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DEUDORES DIVERSOS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646918" w:rsidRPr="006E2C18" w:rsidRDefault="00646918" w:rsidP="006E2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$   </w:t>
            </w:r>
            <w:r w:rsidR="006E2C18"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2’529,607.86</w:t>
            </w:r>
            <w:r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</w:p>
        </w:tc>
      </w:tr>
      <w:tr w:rsidR="00646918" w:rsidRPr="00841BC0" w:rsidTr="002704A6">
        <w:trPr>
          <w:trHeight w:val="315"/>
          <w:jc w:val="center"/>
        </w:trPr>
        <w:tc>
          <w:tcPr>
            <w:tcW w:w="3980" w:type="dxa"/>
            <w:shd w:val="clear" w:color="auto" w:fill="auto"/>
            <w:noWrap/>
            <w:vAlign w:val="bottom"/>
            <w:hideMark/>
          </w:tcPr>
          <w:p w:rsidR="00646918" w:rsidRPr="006E2C18" w:rsidRDefault="00646918" w:rsidP="00270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OTROS DERECHOS A RECIBIR EFECTIVO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646918" w:rsidRPr="00841BC0" w:rsidRDefault="00646918" w:rsidP="006E2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$        3</w:t>
            </w:r>
            <w:r w:rsidR="006E2C18" w:rsidRPr="006E2C1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4,114.55</w:t>
            </w:r>
          </w:p>
        </w:tc>
      </w:tr>
    </w:tbl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4" w:name="_Toc442113854"/>
      <w:r w:rsidRPr="00841BC0">
        <w:rPr>
          <w:rFonts w:ascii="Arial" w:hAnsi="Arial" w:cs="Arial"/>
          <w:b/>
          <w:u w:val="single"/>
        </w:rPr>
        <w:t>Inventarios:</w:t>
      </w:r>
      <w:bookmarkEnd w:id="4"/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No aplica.</w:t>
      </w: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5" w:name="_Toc442113855"/>
      <w:r w:rsidRPr="00841BC0">
        <w:rPr>
          <w:rFonts w:ascii="Arial" w:hAnsi="Arial" w:cs="Arial"/>
          <w:b/>
          <w:u w:val="single"/>
        </w:rPr>
        <w:t>Almacenes:</w:t>
      </w:r>
      <w:bookmarkEnd w:id="5"/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>El Sistema para el Desarrollo Integral de la Familia Jalisco, cuenta con un Almacén de Víveres, insumos y materia prima, en el cual se recibe lo previamente autorizado para su adquisición y que es entregado por los proveedores.</w:t>
      </w:r>
      <w:r w:rsidR="00B02C16" w:rsidRPr="00B02C16">
        <w:rPr>
          <w:noProof/>
        </w:rPr>
        <w:t xml:space="preserve"> </w:t>
      </w:r>
      <w:r w:rsidR="00B02C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03F15" wp14:editId="2540EED5">
                <wp:simplePos x="0" y="0"/>
                <wp:positionH relativeFrom="column">
                  <wp:posOffset>169863</wp:posOffset>
                </wp:positionH>
                <wp:positionV relativeFrom="paragraph">
                  <wp:posOffset>161607</wp:posOffset>
                </wp:positionV>
                <wp:extent cx="6113104" cy="1878984"/>
                <wp:effectExtent l="1735772" t="0" r="1776413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87285">
                          <a:off x="0" y="0"/>
                          <a:ext cx="6113104" cy="187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2C16" w:rsidRPr="00B02C16" w:rsidRDefault="00B02C16" w:rsidP="00B02C16">
                            <w:pPr>
                              <w:keepNext/>
                              <w:keepLines/>
                              <w:spacing w:before="48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02C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Versión Preliminar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13.4pt;margin-top:12.7pt;width:481.35pt;height:147.95pt;rotation:-30722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" filled="f" stroked="f">
                <v:fill o:detectmouseclick="t"/>
                <v:textbox>
                  <w:txbxContent>
                    <w:p w:rsidR="00B02C16" w:rsidRPr="00B02C16" w:rsidRDefault="00B02C16" w:rsidP="00B02C16">
                      <w:pPr>
                        <w:keepNext/>
                        <w:keepLines/>
                        <w:spacing w:before="480"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02C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9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Versión Preliminar</w:t>
                      </w:r>
                    </w:p>
                  </w:txbxContent>
                </v:textbox>
              </v:shape>
            </w:pict>
          </mc:Fallback>
        </mc:AlternateContent>
      </w: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La valuación de existencias del Almacén es de acuerdo al costo de adquisición. </w:t>
      </w: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Al </w:t>
      </w:r>
      <w:r w:rsidR="006E2C18">
        <w:rPr>
          <w:rFonts w:ascii="Arial" w:hAnsi="Arial" w:cs="Arial"/>
        </w:rPr>
        <w:t>30 de junio</w:t>
      </w:r>
      <w:r>
        <w:rPr>
          <w:rFonts w:ascii="Arial" w:hAnsi="Arial" w:cs="Arial"/>
        </w:rPr>
        <w:t xml:space="preserve"> </w:t>
      </w:r>
      <w:r w:rsidRPr="00841BC0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2016</w:t>
      </w:r>
      <w:r w:rsidRPr="00841BC0">
        <w:rPr>
          <w:rFonts w:ascii="Arial" w:hAnsi="Arial" w:cs="Arial"/>
        </w:rPr>
        <w:t xml:space="preserve"> presenta en los Estados Financieros un saldo de $</w:t>
      </w:r>
      <w:r w:rsidR="006E2C18">
        <w:rPr>
          <w:rFonts w:ascii="Arial" w:hAnsi="Arial" w:cs="Arial"/>
        </w:rPr>
        <w:t>100,143.57</w:t>
      </w:r>
      <w:r w:rsidRPr="00841BC0">
        <w:rPr>
          <w:rFonts w:ascii="Arial" w:hAnsi="Arial" w:cs="Arial"/>
        </w:rPr>
        <w:t xml:space="preserve"> integrado por los diversos insumos necesarios para cumplir el objetivo de la institución.    </w:t>
      </w: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6" w:name="_Toc442113856"/>
      <w:r w:rsidRPr="00841BC0">
        <w:rPr>
          <w:rFonts w:ascii="Arial" w:hAnsi="Arial" w:cs="Arial"/>
          <w:b/>
          <w:u w:val="single"/>
        </w:rPr>
        <w:t>Inversiones Financieras:</w:t>
      </w:r>
      <w:bookmarkEnd w:id="6"/>
      <w:r w:rsidRPr="00841BC0">
        <w:rPr>
          <w:rFonts w:ascii="Arial" w:hAnsi="Arial" w:cs="Arial"/>
          <w:b/>
          <w:u w:val="single"/>
        </w:rPr>
        <w:t xml:space="preserve"> </w:t>
      </w: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El Sistema DIF Jalisco, presenta en el Estado de Situación Financiera al </w:t>
      </w:r>
      <w:r w:rsidR="006E2C18">
        <w:rPr>
          <w:rFonts w:ascii="Arial" w:hAnsi="Arial" w:cs="Arial"/>
        </w:rPr>
        <w:t>30 de junio del 2016</w:t>
      </w:r>
      <w:r w:rsidRPr="00841BC0">
        <w:rPr>
          <w:rFonts w:ascii="Arial" w:hAnsi="Arial" w:cs="Arial"/>
        </w:rPr>
        <w:t>, $</w:t>
      </w:r>
      <w:r w:rsidR="006E2C18">
        <w:rPr>
          <w:rFonts w:ascii="Arial" w:hAnsi="Arial" w:cs="Arial"/>
        </w:rPr>
        <w:t>170’537,959.62</w:t>
      </w: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ind w:left="720"/>
        <w:contextualSpacing/>
        <w:jc w:val="both"/>
        <w:rPr>
          <w:rFonts w:ascii="Arial" w:hAnsi="Arial" w:cs="Arial"/>
          <w:b/>
        </w:rPr>
      </w:pPr>
    </w:p>
    <w:p w:rsidR="00646918" w:rsidRPr="00841BC0" w:rsidRDefault="00646918" w:rsidP="00646918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</w:rPr>
      </w:pPr>
      <w:r w:rsidRPr="00841BC0">
        <w:rPr>
          <w:rFonts w:ascii="Arial" w:hAnsi="Arial" w:cs="Arial"/>
          <w:b/>
          <w:u w:val="single"/>
        </w:rPr>
        <w:t>Bienes Inmuebles, Infraestructura y Construcciones en Proceso:</w:t>
      </w:r>
    </w:p>
    <w:p w:rsidR="00646918" w:rsidRPr="00841BC0" w:rsidRDefault="00646918" w:rsidP="00646918">
      <w:pPr>
        <w:ind w:left="720"/>
        <w:contextualSpacing/>
        <w:jc w:val="both"/>
        <w:rPr>
          <w:rFonts w:ascii="Arial" w:hAnsi="Arial" w:cs="Arial"/>
        </w:rPr>
      </w:pPr>
    </w:p>
    <w:p w:rsidR="006E2C18" w:rsidRDefault="00646918" w:rsidP="006E2C18">
      <w:pPr>
        <w:contextualSpacing/>
        <w:jc w:val="both"/>
        <w:rPr>
          <w:rFonts w:ascii="Arial" w:hAnsi="Arial" w:cs="Arial"/>
        </w:rPr>
      </w:pPr>
      <w:r w:rsidRPr="00841BC0">
        <w:rPr>
          <w:rFonts w:ascii="Arial" w:hAnsi="Arial" w:cs="Arial"/>
        </w:rPr>
        <w:t xml:space="preserve">En el renglón de Bienes Inmuebles; el Sistema para el Desarrollo Integral de la Familia Jalisco, presenta al </w:t>
      </w:r>
      <w:r w:rsidR="006E2C18">
        <w:rPr>
          <w:rFonts w:ascii="Arial" w:hAnsi="Arial" w:cs="Arial"/>
        </w:rPr>
        <w:t>30 de junio del 2016</w:t>
      </w:r>
      <w:r w:rsidRPr="00841BC0">
        <w:rPr>
          <w:rFonts w:ascii="Arial" w:hAnsi="Arial" w:cs="Arial"/>
        </w:rPr>
        <w:t xml:space="preserve"> un saldo de $4</w:t>
      </w:r>
      <w:r w:rsidR="006E2C18">
        <w:rPr>
          <w:rFonts w:ascii="Arial" w:hAnsi="Arial" w:cs="Arial"/>
        </w:rPr>
        <w:t>54</w:t>
      </w:r>
      <w:r w:rsidRPr="00841BC0">
        <w:rPr>
          <w:rFonts w:ascii="Arial" w:hAnsi="Arial" w:cs="Arial"/>
        </w:rPr>
        <w:t>’</w:t>
      </w:r>
      <w:r w:rsidR="006E2C18">
        <w:rPr>
          <w:rFonts w:ascii="Arial" w:hAnsi="Arial" w:cs="Arial"/>
        </w:rPr>
        <w:t>281</w:t>
      </w:r>
      <w:r w:rsidRPr="00841BC0">
        <w:rPr>
          <w:rFonts w:ascii="Arial" w:hAnsi="Arial" w:cs="Arial"/>
        </w:rPr>
        <w:t>,</w:t>
      </w:r>
      <w:r w:rsidR="006E2C18">
        <w:rPr>
          <w:rFonts w:ascii="Arial" w:hAnsi="Arial" w:cs="Arial"/>
        </w:rPr>
        <w:t>061.31</w:t>
      </w:r>
      <w:r w:rsidRPr="00841BC0">
        <w:rPr>
          <w:rFonts w:ascii="Arial" w:hAnsi="Arial" w:cs="Arial"/>
        </w:rPr>
        <w:t>, int</w:t>
      </w:r>
      <w:r w:rsidR="006E2C18">
        <w:rPr>
          <w:rFonts w:ascii="Arial" w:hAnsi="Arial" w:cs="Arial"/>
        </w:rPr>
        <w:t xml:space="preserve">egrado de la siguiente manera: </w:t>
      </w:r>
    </w:p>
    <w:p w:rsidR="006E2C18" w:rsidRPr="006E2C18" w:rsidRDefault="006E2C18" w:rsidP="006E2C18">
      <w:pPr>
        <w:contextualSpacing/>
        <w:jc w:val="both"/>
        <w:rPr>
          <w:rFonts w:ascii="Arial" w:hAnsi="Arial" w:cs="Arial"/>
        </w:rPr>
      </w:pPr>
    </w:p>
    <w:tbl>
      <w:tblPr>
        <w:tblW w:w="6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644"/>
      </w:tblGrid>
      <w:tr w:rsidR="006E2C18" w:rsidRPr="006E2C18" w:rsidTr="006E2C18">
        <w:trPr>
          <w:trHeight w:val="315"/>
          <w:jc w:val="center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18" w:rsidRPr="006E2C18" w:rsidRDefault="006E2C18" w:rsidP="006E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C18" w:rsidRPr="006E2C18" w:rsidRDefault="006E2C18" w:rsidP="006E2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IMPORTE </w:t>
            </w:r>
          </w:p>
        </w:tc>
      </w:tr>
      <w:tr w:rsidR="006E2C18" w:rsidRPr="006E2C18" w:rsidTr="006E2C18">
        <w:trPr>
          <w:trHeight w:val="315"/>
          <w:jc w:val="center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18" w:rsidRPr="006E2C18" w:rsidRDefault="006E2C18" w:rsidP="006E2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C18" w:rsidRPr="006E2C18" w:rsidRDefault="006E2C18" w:rsidP="006E2C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E2C18">
              <w:rPr>
                <w:rFonts w:ascii="Calibri" w:eastAsia="Times New Roman" w:hAnsi="Calibri" w:cs="Times New Roman"/>
                <w:color w:val="000000"/>
                <w:lang w:eastAsia="es-MX"/>
              </w:rPr>
              <w:t>$49,887,199.43</w:t>
            </w:r>
          </w:p>
        </w:tc>
      </w:tr>
      <w:tr w:rsidR="006E2C18" w:rsidRPr="006E2C18" w:rsidTr="006E2C18">
        <w:trPr>
          <w:trHeight w:val="315"/>
          <w:jc w:val="center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18" w:rsidRPr="006E2C18" w:rsidRDefault="006E2C18" w:rsidP="006E2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C18" w:rsidRPr="006E2C18" w:rsidRDefault="006E2C18" w:rsidP="006E2C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E2C18">
              <w:rPr>
                <w:rFonts w:ascii="Calibri" w:eastAsia="Times New Roman" w:hAnsi="Calibri" w:cs="Times New Roman"/>
                <w:color w:val="000000"/>
                <w:lang w:eastAsia="es-MX"/>
              </w:rPr>
              <w:t>$86,271,439.88</w:t>
            </w:r>
          </w:p>
        </w:tc>
      </w:tr>
      <w:tr w:rsidR="006E2C18" w:rsidRPr="006E2C18" w:rsidTr="006E2C18">
        <w:trPr>
          <w:trHeight w:val="315"/>
          <w:jc w:val="center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18" w:rsidRPr="006E2C18" w:rsidRDefault="006E2C18" w:rsidP="006E2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C18" w:rsidRPr="006E2C18" w:rsidRDefault="006E2C18" w:rsidP="006E2C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E2C18">
              <w:rPr>
                <w:rFonts w:ascii="Calibri" w:eastAsia="Times New Roman" w:hAnsi="Calibri" w:cs="Times New Roman"/>
                <w:color w:val="000000"/>
                <w:lang w:eastAsia="es-MX"/>
              </w:rPr>
              <w:t>$302,371,124.55</w:t>
            </w:r>
          </w:p>
        </w:tc>
      </w:tr>
      <w:tr w:rsidR="006E2C18" w:rsidRPr="006E2C18" w:rsidTr="006E2C18">
        <w:trPr>
          <w:trHeight w:val="315"/>
          <w:jc w:val="center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18" w:rsidRPr="006E2C18" w:rsidRDefault="006E2C18" w:rsidP="006E2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2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C18" w:rsidRPr="006E2C18" w:rsidRDefault="002704A6" w:rsidP="006E2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 </w:t>
            </w:r>
            <w:r w:rsidR="006E2C18" w:rsidRPr="006E2C1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15,751,297.45 </w:t>
            </w:r>
          </w:p>
        </w:tc>
      </w:tr>
    </w:tbl>
    <w:p w:rsidR="00646918" w:rsidRDefault="00646918" w:rsidP="00646918">
      <w:pPr>
        <w:contextualSpacing/>
        <w:jc w:val="both"/>
        <w:rPr>
          <w:rFonts w:ascii="Arial" w:hAnsi="Arial" w:cs="Arial"/>
        </w:rPr>
      </w:pPr>
    </w:p>
    <w:p w:rsidR="006E2C18" w:rsidRPr="00841BC0" w:rsidRDefault="006E2C18" w:rsidP="00646918">
      <w:pPr>
        <w:contextualSpacing/>
        <w:jc w:val="both"/>
        <w:rPr>
          <w:rFonts w:ascii="Arial" w:hAnsi="Arial" w:cs="Arial"/>
        </w:rPr>
      </w:pPr>
    </w:p>
    <w:p w:rsidR="00646918" w:rsidRDefault="00646918" w:rsidP="00646918">
      <w:pPr>
        <w:contextualSpacing/>
        <w:jc w:val="both"/>
        <w:rPr>
          <w:rFonts w:ascii="Arial" w:hAnsi="Arial" w:cs="Arial"/>
        </w:rPr>
      </w:pPr>
    </w:p>
    <w:p w:rsidR="00A04CA6" w:rsidRDefault="00A04CA6" w:rsidP="00646918">
      <w:pPr>
        <w:contextualSpacing/>
        <w:jc w:val="both"/>
        <w:rPr>
          <w:rFonts w:ascii="Arial" w:hAnsi="Arial" w:cs="Arial"/>
        </w:rPr>
      </w:pPr>
    </w:p>
    <w:p w:rsidR="00A04CA6" w:rsidRPr="00841BC0" w:rsidRDefault="00A04CA6" w:rsidP="00646918">
      <w:pPr>
        <w:contextualSpacing/>
        <w:jc w:val="both"/>
        <w:rPr>
          <w:rFonts w:ascii="Arial" w:hAnsi="Arial" w:cs="Arial"/>
        </w:rPr>
      </w:pPr>
    </w:p>
    <w:p w:rsidR="00646918" w:rsidRPr="00841BC0" w:rsidRDefault="00646918" w:rsidP="00646918">
      <w:pPr>
        <w:contextualSpacing/>
        <w:jc w:val="both"/>
        <w:rPr>
          <w:rFonts w:ascii="Arial" w:hAnsi="Arial" w:cs="Arial"/>
        </w:rPr>
      </w:pPr>
    </w:p>
    <w:p w:rsidR="00646918" w:rsidRPr="008429F3" w:rsidRDefault="00646918" w:rsidP="00646918">
      <w:pPr>
        <w:numPr>
          <w:ilvl w:val="0"/>
          <w:numId w:val="1"/>
        </w:numPr>
        <w:contextualSpacing/>
        <w:jc w:val="both"/>
        <w:outlineLvl w:val="2"/>
        <w:rPr>
          <w:rFonts w:ascii="Arial" w:hAnsi="Arial" w:cs="Arial"/>
          <w:b/>
          <w:u w:val="single"/>
        </w:rPr>
      </w:pPr>
      <w:bookmarkStart w:id="7" w:name="_Toc442113857"/>
      <w:r w:rsidRPr="008429F3">
        <w:rPr>
          <w:rFonts w:ascii="Arial" w:hAnsi="Arial" w:cs="Arial"/>
          <w:b/>
          <w:u w:val="single"/>
        </w:rPr>
        <w:lastRenderedPageBreak/>
        <w:t>Bienes Muebles:</w:t>
      </w:r>
      <w:bookmarkEnd w:id="7"/>
    </w:p>
    <w:p w:rsidR="00A04CA6" w:rsidRPr="00A04CA6" w:rsidRDefault="00A04CA6" w:rsidP="00A04CA6">
      <w:pPr>
        <w:pStyle w:val="Prrafodelista"/>
        <w:jc w:val="both"/>
        <w:outlineLvl w:val="2"/>
        <w:rPr>
          <w:rFonts w:ascii="Arial" w:hAnsi="Arial" w:cs="Arial"/>
        </w:rPr>
      </w:pPr>
      <w:r w:rsidRPr="00A04CA6">
        <w:rPr>
          <w:rFonts w:ascii="Arial" w:hAnsi="Arial" w:cs="Arial"/>
        </w:rPr>
        <w:t>En el rubro de Bienes Muebles; el Sistema para el Desarrollo Integral de la</w:t>
      </w:r>
      <w:r>
        <w:rPr>
          <w:rFonts w:ascii="Arial" w:hAnsi="Arial" w:cs="Arial"/>
        </w:rPr>
        <w:t xml:space="preserve"> Familia Jalisco, presenta al 30</w:t>
      </w:r>
      <w:r w:rsidRPr="00A04CA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Pr="00A04CA6">
        <w:rPr>
          <w:rFonts w:ascii="Arial" w:hAnsi="Arial" w:cs="Arial"/>
        </w:rPr>
        <w:t xml:space="preserve"> de 2016 un saldo de $</w:t>
      </w:r>
      <w:r>
        <w:rPr>
          <w:rFonts w:ascii="Arial" w:hAnsi="Arial" w:cs="Arial"/>
        </w:rPr>
        <w:t xml:space="preserve">  138’817,779.94   </w:t>
      </w:r>
      <w:r w:rsidRPr="00A04CA6">
        <w:rPr>
          <w:rFonts w:ascii="Arial" w:hAnsi="Arial" w:cs="Arial"/>
        </w:rPr>
        <w:t>integrado de la siguiente manera:</w:t>
      </w:r>
    </w:p>
    <w:p w:rsidR="00646918" w:rsidRPr="004B727D" w:rsidRDefault="00646918" w:rsidP="00646918">
      <w:pPr>
        <w:ind w:left="720"/>
        <w:contextualSpacing/>
        <w:jc w:val="both"/>
        <w:rPr>
          <w:rFonts w:ascii="Arial" w:hAnsi="Arial" w:cs="Arial"/>
          <w:highlight w:val="yellow"/>
        </w:rPr>
      </w:pPr>
    </w:p>
    <w:tbl>
      <w:tblPr>
        <w:tblW w:w="6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539"/>
      </w:tblGrid>
      <w:tr w:rsidR="00A04CA6" w:rsidRPr="00A04CA6" w:rsidTr="00A04CA6">
        <w:trPr>
          <w:trHeight w:val="300"/>
          <w:jc w:val="center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A6" w:rsidRPr="00A04CA6" w:rsidRDefault="00A04CA6" w:rsidP="00A04C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CA6" w:rsidRPr="00A04CA6" w:rsidRDefault="00A04CA6" w:rsidP="00A04C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  <w:t>Deudor</w:t>
            </w:r>
          </w:p>
        </w:tc>
      </w:tr>
      <w:tr w:rsidR="00A04CA6" w:rsidRPr="00A04CA6" w:rsidTr="00A04CA6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MOBILIARIO Y EQUIPO DE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54,976,263.34</w:t>
            </w:r>
          </w:p>
        </w:tc>
      </w:tr>
      <w:tr w:rsidR="00A04CA6" w:rsidRPr="00A04CA6" w:rsidTr="00A04CA6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MOBILIARIO Y EQUIPO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19,168,281.93</w:t>
            </w:r>
          </w:p>
        </w:tc>
      </w:tr>
      <w:tr w:rsidR="00A04CA6" w:rsidRPr="00A04CA6" w:rsidTr="00A04CA6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EQUIPO E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9,894,257.34</w:t>
            </w:r>
          </w:p>
        </w:tc>
      </w:tr>
      <w:tr w:rsidR="00A04CA6" w:rsidRPr="00A04CA6" w:rsidTr="00A04CA6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35,806,651.50</w:t>
            </w:r>
          </w:p>
        </w:tc>
      </w:tr>
      <w:tr w:rsidR="00A04CA6" w:rsidRPr="00A04CA6" w:rsidTr="00A04CA6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MAQUINARIA OTROS EQUIPOS Y HERRAMIENTAS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7,413,303.81</w:t>
            </w:r>
          </w:p>
        </w:tc>
      </w:tr>
      <w:tr w:rsidR="00A04CA6" w:rsidRPr="00A04CA6" w:rsidTr="00A04CA6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COLECCIONES OBRAS DE ARTE Y OBJETOS VALIOSOS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color w:val="000000"/>
                <w:lang w:eastAsia="es-MX"/>
              </w:rPr>
              <w:t>11,559,022.02</w:t>
            </w:r>
          </w:p>
        </w:tc>
      </w:tr>
      <w:tr w:rsidR="00A04CA6" w:rsidRPr="00A04CA6" w:rsidTr="00A04CA6">
        <w:trPr>
          <w:trHeight w:val="315"/>
          <w:jc w:val="center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  <w:t>TOTAL</w:t>
            </w:r>
            <w:r w:rsidR="00B02C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03F15" wp14:editId="2540EED5">
                      <wp:simplePos x="0" y="0"/>
                      <wp:positionH relativeFrom="column">
                        <wp:posOffset>-592772</wp:posOffset>
                      </wp:positionH>
                      <wp:positionV relativeFrom="paragraph">
                        <wp:posOffset>580707</wp:posOffset>
                      </wp:positionV>
                      <wp:extent cx="6113104" cy="1878984"/>
                      <wp:effectExtent l="1735772" t="0" r="1776413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787285">
                                <a:off x="0" y="0"/>
                                <a:ext cx="6113104" cy="1878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2C16" w:rsidRPr="00B02C16" w:rsidRDefault="00B02C16" w:rsidP="00B02C16">
                                  <w:pPr>
                                    <w:keepNext/>
                                    <w:keepLines/>
                                    <w:spacing w:before="480" w:after="0"/>
                                    <w:jc w:val="center"/>
                                    <w:outlineLvl w:val="0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bookmarkStart w:id="8" w:name="_GoBack"/>
                                  <w:r w:rsidRPr="00B02C1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Versión Preliminar</w:t>
                                  </w:r>
                                  <w:bookmarkEnd w:id="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8" type="#_x0000_t202" style="position:absolute;left:0;text-align:left;margin-left:-46.65pt;margin-top:45.7pt;width:481.35pt;height:147.95pt;rotation:-307223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" filled="f" stroked="f">
                      <v:fill o:detectmouseclick="t"/>
                      <v:textbox>
                        <w:txbxContent>
                          <w:p w:rsidR="00B02C16" w:rsidRPr="00B02C16" w:rsidRDefault="00B02C16" w:rsidP="00B02C16">
                            <w:pPr>
                              <w:keepNext/>
                              <w:keepLines/>
                              <w:spacing w:before="48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bookmarkStart w:id="9" w:name="_GoBack"/>
                            <w:r w:rsidRPr="00B02C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Versión Preliminar</w:t>
                            </w:r>
                            <w:bookmarkEnd w:id="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CA6" w:rsidRPr="00A04CA6" w:rsidRDefault="00A04CA6" w:rsidP="00A04CA6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  <w:r w:rsidRPr="00A04CA6"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  <w:t>138,817,779.94</w:t>
            </w:r>
          </w:p>
        </w:tc>
      </w:tr>
    </w:tbl>
    <w:p w:rsidR="00646918" w:rsidRPr="004B727D" w:rsidRDefault="00646918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646918" w:rsidRDefault="00646918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p w:rsidR="002061D1" w:rsidRDefault="002061D1" w:rsidP="00646918">
      <w:pPr>
        <w:contextualSpacing/>
        <w:jc w:val="both"/>
        <w:rPr>
          <w:rFonts w:ascii="Arial" w:hAnsi="Arial" w:cs="Arial"/>
          <w:highlight w:val="yellow"/>
        </w:rPr>
      </w:pPr>
    </w:p>
    <w:sectPr w:rsidR="002061D1" w:rsidSect="002704A6">
      <w:pgSz w:w="12240" w:h="15840"/>
      <w:pgMar w:top="1417" w:right="1041" w:bottom="1417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38B"/>
    <w:multiLevelType w:val="hybridMultilevel"/>
    <w:tmpl w:val="2990CE98"/>
    <w:lvl w:ilvl="0" w:tplc="6FFEE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5902"/>
    <w:multiLevelType w:val="hybridMultilevel"/>
    <w:tmpl w:val="CA42CF8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2228BA"/>
    <w:multiLevelType w:val="hybridMultilevel"/>
    <w:tmpl w:val="65AA83F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E22D1E"/>
    <w:multiLevelType w:val="hybridMultilevel"/>
    <w:tmpl w:val="CF0EC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18"/>
    <w:rsid w:val="002061D1"/>
    <w:rsid w:val="002704A6"/>
    <w:rsid w:val="004B727D"/>
    <w:rsid w:val="00646918"/>
    <w:rsid w:val="006E2C18"/>
    <w:rsid w:val="008429F3"/>
    <w:rsid w:val="00864F16"/>
    <w:rsid w:val="00A04CA6"/>
    <w:rsid w:val="00B02C16"/>
    <w:rsid w:val="00B14EF0"/>
    <w:rsid w:val="00D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04C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04C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Ortiz Luz Angelica</dc:creator>
  <cp:lastModifiedBy>Lopez Ortiz Luz Angelica</cp:lastModifiedBy>
  <cp:revision>4</cp:revision>
  <cp:lastPrinted>2016-10-25T14:38:00Z</cp:lastPrinted>
  <dcterms:created xsi:type="dcterms:W3CDTF">2016-10-24T22:00:00Z</dcterms:created>
  <dcterms:modified xsi:type="dcterms:W3CDTF">2016-10-25T15:29:00Z</dcterms:modified>
</cp:coreProperties>
</file>